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95801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bc005d6-dd8c-40df-b3ae-1f9dd26418c3"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88e3db00-6636-4601-a948-1c797e67dbbc" w:id="2"/>
      <w:r>
        <w:rPr>
          <w:rFonts w:ascii="Times New Roman" w:hAnsi="Times New Roman"/>
          <w:b/>
          <w:i w:val="false"/>
          <w:color w:val="000000"/>
          <w:sz w:val="28"/>
        </w:rPr>
        <w:t>МО "Чародинский район"</w:t>
      </w:r>
      <w:bookmarkEnd w:id="2"/>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учителей гуманитарного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Г.А.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3439906)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3"/>
      <w:r>
        <w:rPr>
          <w:rFonts w:ascii="Times New Roman" w:hAnsi="Times New Roman"/>
          <w:b/>
          <w:i w:val="false"/>
          <w:color w:val="000000"/>
          <w:sz w:val="28"/>
        </w:rPr>
        <w:t>с.Магар</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2023</w:t>
      </w:r>
      <w:bookmarkEnd w:id="4"/>
    </w:p>
    <w:p>
      <w:pPr>
        <w:spacing w:before="0" w:after="0"/>
        <w:ind w:left="120"/>
        <w:jc w:val="left"/>
      </w:pPr>
    </w:p>
    <w:bookmarkStart w:name="block-25958010" w:id="5"/>
    <w:p>
      <w:pPr>
        <w:sectPr>
          <w:pgSz w:w="11906" w:h="16383" w:orient="portrait"/>
        </w:sectPr>
      </w:pPr>
    </w:p>
    <w:bookmarkEnd w:id="5"/>
    <w:bookmarkEnd w:id="0"/>
    <w:bookmarkStart w:name="block-2595801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25958011" w:id="7"/>
    <w:p>
      <w:pPr>
        <w:sectPr>
          <w:pgSz w:w="11906" w:h="16383" w:orient="portrait"/>
        </w:sectPr>
      </w:pPr>
    </w:p>
    <w:bookmarkEnd w:id="7"/>
    <w:bookmarkEnd w:id="6"/>
    <w:bookmarkStart w:name="block-2595800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25958006" w:id="9"/>
    <w:p>
      <w:pPr>
        <w:sectPr>
          <w:pgSz w:w="11906" w:h="16383" w:orient="portrait"/>
        </w:sectPr>
      </w:pPr>
    </w:p>
    <w:bookmarkEnd w:id="9"/>
    <w:bookmarkEnd w:id="8"/>
    <w:bookmarkStart w:name="block-25958007"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25958007" w:id="11"/>
    <w:p>
      <w:pPr>
        <w:sectPr>
          <w:pgSz w:w="11906" w:h="16383" w:orient="portrait"/>
        </w:sectPr>
      </w:pPr>
    </w:p>
    <w:bookmarkEnd w:id="11"/>
    <w:bookmarkEnd w:id="10"/>
    <w:bookmarkStart w:name="block-2595800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9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25958008" w:id="13"/>
    <w:p>
      <w:pPr>
        <w:sectPr>
          <w:pgSz w:w="16383" w:h="11906" w:orient="landscape"/>
        </w:sectPr>
      </w:pPr>
    </w:p>
    <w:bookmarkEnd w:id="13"/>
    <w:bookmarkEnd w:id="12"/>
    <w:bookmarkStart w:name="block-2595800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7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22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10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11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958009" w:id="15"/>
    <w:p>
      <w:pPr>
        <w:sectPr>
          <w:pgSz w:w="16383" w:h="11906" w:orient="landscape"/>
        </w:sectPr>
      </w:pPr>
    </w:p>
    <w:bookmarkEnd w:id="15"/>
    <w:bookmarkEnd w:id="14"/>
    <w:bookmarkStart w:name="block-25958012"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958012"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